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C717" w14:textId="77777777" w:rsidR="001859C3" w:rsidRPr="007E5AD9" w:rsidRDefault="001859C3" w:rsidP="001859C3">
      <w:pPr>
        <w:jc w:val="center"/>
        <w:rPr>
          <w:rFonts w:ascii="Arial" w:hAnsi="Arial" w:cs="Arial"/>
        </w:rPr>
      </w:pPr>
      <w:r w:rsidRPr="0030787F">
        <w:rPr>
          <w:rFonts w:ascii="Calibri" w:hAnsi="Calibri"/>
          <w:noProof/>
        </w:rPr>
        <w:drawing>
          <wp:anchor distT="0" distB="0" distL="114300" distR="114300" simplePos="0" relativeHeight="251661312" behindDoc="1" locked="0" layoutInCell="1" allowOverlap="1" wp14:anchorId="095BD897" wp14:editId="2390BC60">
            <wp:simplePos x="0" y="0"/>
            <wp:positionH relativeFrom="column">
              <wp:posOffset>2395855</wp:posOffset>
            </wp:positionH>
            <wp:positionV relativeFrom="paragraph">
              <wp:posOffset>48260</wp:posOffset>
            </wp:positionV>
            <wp:extent cx="2211705" cy="704850"/>
            <wp:effectExtent l="0" t="0" r="0" b="0"/>
            <wp:wrapTight wrapText="bothSides">
              <wp:wrapPolygon edited="0">
                <wp:start x="0" y="0"/>
                <wp:lineTo x="0" y="21016"/>
                <wp:lineTo x="21395" y="21016"/>
                <wp:lineTo x="2139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87F">
        <w:rPr>
          <w:rFonts w:ascii="Arial" w:hAnsi="Arial" w:cs="Arial"/>
          <w:b/>
          <w:noProof/>
        </w:rPr>
        <w:drawing>
          <wp:anchor distT="0" distB="0" distL="114300" distR="114300" simplePos="0" relativeHeight="251660288" behindDoc="1" locked="0" layoutInCell="1" allowOverlap="1" wp14:anchorId="0297661A" wp14:editId="0534A1E8">
            <wp:simplePos x="0" y="0"/>
            <wp:positionH relativeFrom="margin">
              <wp:posOffset>61595</wp:posOffset>
            </wp:positionH>
            <wp:positionV relativeFrom="margin">
              <wp:posOffset>144780</wp:posOffset>
            </wp:positionV>
            <wp:extent cx="2019300" cy="60007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b="56039"/>
                    <a:stretch>
                      <a:fillRect/>
                    </a:stretch>
                  </pic:blipFill>
                  <pic:spPr bwMode="auto">
                    <a:xfrm>
                      <a:off x="0" y="0"/>
                      <a:ext cx="2019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F33E613" wp14:editId="150E387E">
            <wp:simplePos x="0" y="0"/>
            <wp:positionH relativeFrom="column">
              <wp:posOffset>5110480</wp:posOffset>
            </wp:positionH>
            <wp:positionV relativeFrom="paragraph">
              <wp:posOffset>80645</wp:posOffset>
            </wp:positionV>
            <wp:extent cx="964565" cy="664210"/>
            <wp:effectExtent l="0" t="0" r="0" b="0"/>
            <wp:wrapTight wrapText="bothSides">
              <wp:wrapPolygon edited="0">
                <wp:start x="0" y="0"/>
                <wp:lineTo x="0" y="21063"/>
                <wp:lineTo x="21330" y="21063"/>
                <wp:lineTo x="213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rcRect l="82735"/>
                    <a:stretch>
                      <a:fillRect/>
                    </a:stretch>
                  </pic:blipFill>
                  <pic:spPr bwMode="auto">
                    <a:xfrm>
                      <a:off x="0" y="0"/>
                      <a:ext cx="96456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D7149" w14:textId="77777777" w:rsidR="001859C3" w:rsidRPr="007E5AD9" w:rsidRDefault="001859C3" w:rsidP="001859C3">
      <w:pPr>
        <w:rPr>
          <w:rFonts w:ascii="Arial" w:hAnsi="Arial" w:cs="Arial"/>
          <w:iCs/>
          <w:color w:val="73777A"/>
          <w:u w:val="single"/>
        </w:rPr>
      </w:pPr>
    </w:p>
    <w:p w14:paraId="7D2FAC45" w14:textId="77777777" w:rsidR="001859C3" w:rsidRPr="007E5AD9" w:rsidRDefault="001859C3" w:rsidP="001859C3">
      <w:pPr>
        <w:ind w:left="3261"/>
        <w:rPr>
          <w:rFonts w:ascii="Arial" w:eastAsia="MS ??" w:hAnsi="Arial" w:cs="Arial"/>
          <w:b/>
          <w:noProof/>
          <w:color w:val="5B9BD5"/>
        </w:rPr>
      </w:pPr>
    </w:p>
    <w:p w14:paraId="588BD186" w14:textId="37173354" w:rsidR="001859C3" w:rsidRDefault="001859C3" w:rsidP="001859C3">
      <w:pPr>
        <w:jc w:val="center"/>
        <w:rPr>
          <w:rFonts w:ascii="Arial" w:hAnsi="Arial" w:cs="Arial"/>
          <w:b/>
        </w:rPr>
      </w:pPr>
      <w:r>
        <w:rPr>
          <w:noProof/>
        </w:rPr>
        <w:drawing>
          <wp:anchor distT="0" distB="0" distL="114300" distR="114300" simplePos="0" relativeHeight="251662336" behindDoc="1" locked="0" layoutInCell="1" allowOverlap="1" wp14:anchorId="5D99FCE8" wp14:editId="778846E4">
            <wp:simplePos x="0" y="0"/>
            <wp:positionH relativeFrom="column">
              <wp:posOffset>1826895</wp:posOffset>
            </wp:positionH>
            <wp:positionV relativeFrom="paragraph">
              <wp:posOffset>25400</wp:posOffset>
            </wp:positionV>
            <wp:extent cx="1435735" cy="1071880"/>
            <wp:effectExtent l="0" t="0" r="0" b="0"/>
            <wp:wrapTight wrapText="bothSides">
              <wp:wrapPolygon edited="0">
                <wp:start x="0" y="0"/>
                <wp:lineTo x="0" y="21114"/>
                <wp:lineTo x="21208" y="21114"/>
                <wp:lineTo x="21208"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73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148746" wp14:editId="28965861">
            <wp:simplePos x="0" y="0"/>
            <wp:positionH relativeFrom="column">
              <wp:posOffset>3568065</wp:posOffset>
            </wp:positionH>
            <wp:positionV relativeFrom="paragraph">
              <wp:posOffset>146685</wp:posOffset>
            </wp:positionV>
            <wp:extent cx="957580" cy="678815"/>
            <wp:effectExtent l="0" t="0" r="0" b="0"/>
            <wp:wrapTight wrapText="bothSides">
              <wp:wrapPolygon edited="0">
                <wp:start x="0" y="0"/>
                <wp:lineTo x="0" y="21216"/>
                <wp:lineTo x="21056" y="21216"/>
                <wp:lineTo x="21056"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758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1EE2E" w14:textId="77777777" w:rsidR="001859C3" w:rsidRDefault="001859C3" w:rsidP="001859C3">
      <w:pPr>
        <w:jc w:val="center"/>
        <w:rPr>
          <w:rFonts w:ascii="Arial" w:hAnsi="Arial" w:cs="Arial"/>
          <w:b/>
        </w:rPr>
      </w:pPr>
    </w:p>
    <w:p w14:paraId="0A4B0ECA" w14:textId="77777777" w:rsidR="001859C3" w:rsidRDefault="001859C3" w:rsidP="001859C3">
      <w:pPr>
        <w:jc w:val="center"/>
        <w:rPr>
          <w:rFonts w:ascii="Arial" w:hAnsi="Arial" w:cs="Arial"/>
          <w:b/>
        </w:rPr>
      </w:pPr>
    </w:p>
    <w:p w14:paraId="7C831812" w14:textId="77777777" w:rsidR="001859C3" w:rsidRDefault="001859C3" w:rsidP="001859C3">
      <w:pPr>
        <w:jc w:val="center"/>
        <w:rPr>
          <w:rFonts w:ascii="Arial" w:hAnsi="Arial" w:cs="Arial"/>
          <w:b/>
        </w:rPr>
      </w:pPr>
    </w:p>
    <w:p w14:paraId="4C3F6FB0" w14:textId="77777777" w:rsidR="001859C3" w:rsidRDefault="00994C7D" w:rsidP="001859C3">
      <w:pPr>
        <w:jc w:val="center"/>
        <w:rPr>
          <w:rFonts w:ascii="Arial" w:hAnsi="Arial" w:cs="Arial"/>
          <w:b/>
        </w:rPr>
      </w:pPr>
      <w:r>
        <w:rPr>
          <w:rFonts w:ascii="Arial" w:hAnsi="Arial" w:cs="Arial"/>
          <w:b/>
          <w:noProof/>
        </w:rPr>
        <w:pict w14:anchorId="157AABA6">
          <v:shapetype id="_x0000_t32" coordsize="21600,21600" o:spt="32" o:oned="t" path="m,l21600,21600e" filled="f">
            <v:path arrowok="t" fillok="f" o:connecttype="none"/>
            <o:lock v:ext="edit" shapetype="t"/>
          </v:shapetype>
          <v:shape id="_x0000_s1026" type="#_x0000_t32" style="position:absolute;left:0;text-align:left;margin-left:-13.95pt;margin-top:13.4pt;width:512.45pt;height:0;z-index:251658240" o:connectortype="straight"/>
        </w:pict>
      </w:r>
    </w:p>
    <w:p w14:paraId="38AC843C" w14:textId="77777777" w:rsidR="001859C3" w:rsidRDefault="001859C3" w:rsidP="001859C3">
      <w:pPr>
        <w:jc w:val="center"/>
        <w:rPr>
          <w:rFonts w:ascii="Arial" w:hAnsi="Arial" w:cs="Arial"/>
          <w:b/>
        </w:rPr>
      </w:pPr>
    </w:p>
    <w:p w14:paraId="3A360358" w14:textId="77777777" w:rsidR="00162364" w:rsidRDefault="006B5748" w:rsidP="00162364">
      <w:pPr>
        <w:widowControl w:val="0"/>
        <w:spacing w:before="120" w:after="120"/>
        <w:ind w:left="851"/>
        <w:jc w:val="center"/>
        <w:rPr>
          <w:rFonts w:ascii="Times New Roman" w:eastAsia="Microsoft Sans Serif" w:hAnsi="Times New Roman" w:cs="Times New Roman"/>
          <w:b/>
          <w:sz w:val="32"/>
          <w:szCs w:val="32"/>
        </w:rPr>
      </w:pPr>
      <w:r>
        <w:rPr>
          <w:rFonts w:ascii="Times New Roman" w:eastAsia="Microsoft Sans Serif" w:hAnsi="Times New Roman" w:cs="Times New Roman"/>
          <w:b/>
          <w:sz w:val="32"/>
          <w:szCs w:val="32"/>
        </w:rPr>
        <w:t xml:space="preserve">Allegato </w:t>
      </w:r>
      <w:r w:rsidR="001859C3">
        <w:rPr>
          <w:rFonts w:ascii="Times New Roman" w:eastAsia="Microsoft Sans Serif" w:hAnsi="Times New Roman" w:cs="Times New Roman"/>
          <w:b/>
          <w:sz w:val="32"/>
          <w:szCs w:val="32"/>
        </w:rPr>
        <w:t>7</w:t>
      </w:r>
    </w:p>
    <w:p w14:paraId="5640F13C" w14:textId="52E870A3" w:rsidR="00AD08AF" w:rsidRDefault="006B5748" w:rsidP="00162364">
      <w:pPr>
        <w:widowControl w:val="0"/>
        <w:spacing w:before="120" w:after="120"/>
        <w:ind w:left="851"/>
        <w:jc w:val="center"/>
        <w:rPr>
          <w:rFonts w:ascii="Times New Roman" w:eastAsia="Microsoft Sans Serif" w:hAnsi="Times New Roman" w:cs="Times New Roman"/>
          <w:b/>
          <w:sz w:val="32"/>
          <w:szCs w:val="32"/>
        </w:rPr>
      </w:pPr>
      <w:r>
        <w:rPr>
          <w:rFonts w:ascii="Times New Roman" w:eastAsia="Microsoft Sans Serif" w:hAnsi="Times New Roman" w:cs="Times New Roman"/>
          <w:b/>
          <w:sz w:val="32"/>
          <w:szCs w:val="32"/>
        </w:rPr>
        <w:t>Informativa sul trattamento della privacy</w:t>
      </w:r>
    </w:p>
    <w:p w14:paraId="2026B2F0" w14:textId="77777777" w:rsidR="00162364" w:rsidRDefault="00162364" w:rsidP="001859C3">
      <w:pPr>
        <w:ind w:left="60"/>
        <w:jc w:val="center"/>
        <w:rPr>
          <w:rFonts w:ascii="Calibri" w:hAnsi="Calibri" w:cs="Calibri"/>
          <w:b/>
          <w:bCs/>
        </w:rPr>
      </w:pPr>
      <w:bookmarkStart w:id="0" w:name="_Hlk152256149"/>
      <w:bookmarkEnd w:id="0"/>
    </w:p>
    <w:p w14:paraId="54939BA4" w14:textId="77777777" w:rsidR="00162364" w:rsidRDefault="00162364" w:rsidP="001859C3">
      <w:pPr>
        <w:ind w:left="60"/>
        <w:jc w:val="center"/>
        <w:rPr>
          <w:rFonts w:ascii="Calibri" w:hAnsi="Calibri" w:cs="Calibri"/>
          <w:b/>
          <w:bCs/>
        </w:rPr>
      </w:pPr>
    </w:p>
    <w:p w14:paraId="37D874EC" w14:textId="77777777" w:rsidR="00162364" w:rsidRPr="00E13741" w:rsidRDefault="00162364" w:rsidP="00162364">
      <w:pPr>
        <w:ind w:left="60"/>
        <w:jc w:val="center"/>
        <w:rPr>
          <w:rFonts w:ascii="Calibri" w:hAnsi="Calibri" w:cs="Calibri"/>
          <w:b/>
          <w:bCs/>
        </w:rPr>
      </w:pPr>
      <w:r w:rsidRPr="00E13741">
        <w:rPr>
          <w:rFonts w:ascii="Calibri" w:hAnsi="Calibri" w:cs="Calibri"/>
          <w:b/>
          <w:bCs/>
        </w:rPr>
        <w:t>Programma Operativo Complementare (POC) Sicilia 2014- 2020</w:t>
      </w:r>
    </w:p>
    <w:p w14:paraId="060A5D9A" w14:textId="77777777" w:rsidR="00162364" w:rsidRDefault="00162364" w:rsidP="00162364">
      <w:pPr>
        <w:ind w:left="60"/>
        <w:jc w:val="center"/>
        <w:rPr>
          <w:rFonts w:ascii="Calibri" w:hAnsi="Calibri" w:cs="Calibri"/>
        </w:rPr>
      </w:pPr>
    </w:p>
    <w:p w14:paraId="56B58495" w14:textId="77777777" w:rsidR="00162364" w:rsidRDefault="00162364" w:rsidP="00162364">
      <w:pPr>
        <w:ind w:left="60"/>
        <w:jc w:val="center"/>
        <w:rPr>
          <w:rFonts w:ascii="Calibri" w:hAnsi="Calibri" w:cs="Calibri"/>
        </w:rPr>
      </w:pPr>
      <w:r w:rsidRPr="00E13741">
        <w:rPr>
          <w:rFonts w:ascii="Calibri" w:hAnsi="Calibri" w:cs="Calibri"/>
        </w:rPr>
        <w:t>Asse 5 “Rafforzare il capitale umano, promozione dell’occupazione e dell’inclusione sociale”</w:t>
      </w:r>
    </w:p>
    <w:p w14:paraId="432152F2" w14:textId="77777777" w:rsidR="00162364" w:rsidRDefault="00162364" w:rsidP="00162364">
      <w:pPr>
        <w:ind w:left="60"/>
        <w:jc w:val="center"/>
        <w:rPr>
          <w:rFonts w:ascii="Calibri" w:hAnsi="Calibri" w:cs="Calibri"/>
        </w:rPr>
      </w:pPr>
      <w:r w:rsidRPr="00E13741">
        <w:rPr>
          <w:rFonts w:ascii="Calibri" w:hAnsi="Calibri" w:cs="Calibri"/>
        </w:rPr>
        <w:t>Obiettivo Specifico 5.4 “Interventi Complementari FSE – Garantire continuità di attuazione alle operazioni dei programmi SIE, ovvero del POR FSE Sicilia 2014-2020</w:t>
      </w:r>
    </w:p>
    <w:p w14:paraId="43E5BE92" w14:textId="77777777" w:rsidR="00162364" w:rsidRDefault="00162364" w:rsidP="00162364">
      <w:pPr>
        <w:ind w:left="60"/>
        <w:jc w:val="center"/>
        <w:rPr>
          <w:rFonts w:ascii="Calibri" w:hAnsi="Calibri" w:cs="Calibri"/>
        </w:rPr>
      </w:pPr>
      <w:r w:rsidRPr="00E13741">
        <w:rPr>
          <w:rFonts w:ascii="Calibri" w:hAnsi="Calibri" w:cs="Calibri"/>
        </w:rPr>
        <w:t>Azione 5.4.2) Interventi complementari all’Asse 1 “Occupazione” del PO FSE 2014-2020 e salvaguardia delle operazioni finalizzate e selezionate nell’ambito del medesimo Asse</w:t>
      </w:r>
    </w:p>
    <w:p w14:paraId="5FCCADD8" w14:textId="77777777" w:rsidR="00162364" w:rsidRDefault="00162364" w:rsidP="00162364">
      <w:pPr>
        <w:ind w:left="60"/>
        <w:jc w:val="center"/>
        <w:rPr>
          <w:rFonts w:ascii="Calibri" w:hAnsi="Calibri" w:cs="Calibri"/>
        </w:rPr>
      </w:pPr>
    </w:p>
    <w:p w14:paraId="6B98347D" w14:textId="77777777" w:rsidR="00162364" w:rsidRPr="00E13741" w:rsidRDefault="00162364" w:rsidP="00162364">
      <w:pPr>
        <w:ind w:left="60"/>
        <w:jc w:val="both"/>
        <w:rPr>
          <w:rFonts w:eastAsia="Microsoft Sans Serif"/>
          <w:b/>
          <w:highlight w:val="yellow"/>
        </w:rPr>
      </w:pPr>
    </w:p>
    <w:tbl>
      <w:tblPr>
        <w:tblpPr w:leftFromText="141" w:vertAnchor="text" w:horzAnchor="margin" w:tblpXSpec="right" w:tblpY="115"/>
        <w:tblW w:w="5000" w:type="pct"/>
        <w:tblLayout w:type="fixed"/>
        <w:tblLook w:val="0000" w:firstRow="0" w:lastRow="0" w:firstColumn="0" w:lastColumn="0" w:noHBand="0" w:noVBand="0"/>
      </w:tblPr>
      <w:tblGrid>
        <w:gridCol w:w="9854"/>
      </w:tblGrid>
      <w:tr w:rsidR="00162364" w:rsidRPr="00E13741" w14:paraId="42BFED78" w14:textId="77777777" w:rsidTr="002F5508">
        <w:tc>
          <w:tcPr>
            <w:tcW w:w="9854" w:type="dxa"/>
            <w:tcBorders>
              <w:top w:val="single" w:sz="4" w:space="0" w:color="000000"/>
              <w:left w:val="single" w:sz="4" w:space="0" w:color="000000"/>
              <w:bottom w:val="single" w:sz="4" w:space="0" w:color="000000"/>
              <w:right w:val="single" w:sz="4" w:space="0" w:color="000000"/>
            </w:tcBorders>
            <w:shd w:val="clear" w:color="auto" w:fill="auto"/>
          </w:tcPr>
          <w:p w14:paraId="45D9E6DB" w14:textId="77777777" w:rsidR="00162364" w:rsidRPr="00446E73" w:rsidRDefault="00162364" w:rsidP="007C2FA7">
            <w:pPr>
              <w:jc w:val="center"/>
              <w:rPr>
                <w:rFonts w:eastAsia="Microsoft Sans Serif"/>
                <w:b/>
                <w:sz w:val="28"/>
                <w:szCs w:val="28"/>
              </w:rPr>
            </w:pPr>
          </w:p>
          <w:p w14:paraId="537A4649" w14:textId="2EA2DE15" w:rsidR="00162364" w:rsidRPr="00446E73" w:rsidRDefault="00162364" w:rsidP="007C2FA7">
            <w:pPr>
              <w:jc w:val="center"/>
              <w:rPr>
                <w:rFonts w:eastAsia="Microsoft Sans Serif"/>
                <w:b/>
                <w:sz w:val="28"/>
                <w:szCs w:val="28"/>
              </w:rPr>
            </w:pPr>
            <w:r w:rsidRPr="00446E73">
              <w:rPr>
                <w:rFonts w:eastAsia="Microsoft Sans Serif"/>
                <w:b/>
                <w:sz w:val="28"/>
                <w:szCs w:val="28"/>
              </w:rPr>
              <w:t>AIMA 20</w:t>
            </w:r>
          </w:p>
          <w:p w14:paraId="14E7397C" w14:textId="77777777" w:rsidR="00162364" w:rsidRPr="00446E73" w:rsidRDefault="00162364" w:rsidP="007C2FA7">
            <w:pPr>
              <w:jc w:val="center"/>
              <w:rPr>
                <w:rFonts w:eastAsia="Microsoft Sans Serif"/>
                <w:b/>
                <w:sz w:val="28"/>
                <w:szCs w:val="28"/>
              </w:rPr>
            </w:pPr>
            <w:r w:rsidRPr="00446E73">
              <w:rPr>
                <w:rFonts w:eastAsia="Microsoft Sans Serif"/>
                <w:b/>
                <w:sz w:val="28"/>
                <w:szCs w:val="28"/>
              </w:rPr>
              <w:t>“Piano del cibo e mappatura dinamica dei terreni”</w:t>
            </w:r>
          </w:p>
          <w:p w14:paraId="05951128" w14:textId="77777777" w:rsidR="00162364" w:rsidRPr="00446E73" w:rsidRDefault="00162364" w:rsidP="007C2FA7">
            <w:pPr>
              <w:widowControl w:val="0"/>
              <w:ind w:right="397"/>
              <w:jc w:val="center"/>
              <w:rPr>
                <w:sz w:val="28"/>
                <w:szCs w:val="28"/>
              </w:rPr>
            </w:pPr>
          </w:p>
        </w:tc>
      </w:tr>
    </w:tbl>
    <w:p w14:paraId="5805E870" w14:textId="77777777" w:rsidR="00162364" w:rsidRPr="00E13741" w:rsidRDefault="00162364" w:rsidP="00162364">
      <w:pPr>
        <w:widowControl w:val="0"/>
        <w:ind w:right="397"/>
        <w:jc w:val="center"/>
        <w:rPr>
          <w:rFonts w:eastAsia="Microsoft Sans Serif"/>
          <w:b/>
          <w:highlight w:val="yellow"/>
        </w:rPr>
      </w:pPr>
    </w:p>
    <w:p w14:paraId="35BF7E8A" w14:textId="77777777" w:rsidR="001859C3" w:rsidRDefault="001859C3">
      <w:pPr>
        <w:spacing w:after="0" w:line="240" w:lineRule="auto"/>
        <w:rPr>
          <w:rFonts w:ascii="Times New Roman" w:eastAsia="Microsoft Sans Serif" w:hAnsi="Times New Roman" w:cs="Times New Roman"/>
          <w:iCs/>
          <w:highlight w:val="yellow"/>
        </w:rPr>
      </w:pPr>
      <w:r>
        <w:rPr>
          <w:rFonts w:ascii="Times New Roman" w:eastAsia="Microsoft Sans Serif" w:hAnsi="Times New Roman" w:cs="Times New Roman"/>
          <w:iCs/>
          <w:highlight w:val="yellow"/>
        </w:rPr>
        <w:br w:type="page"/>
      </w:r>
    </w:p>
    <w:p w14:paraId="59225FC6" w14:textId="77777777" w:rsidR="00994C7D" w:rsidRPr="00994C7D" w:rsidRDefault="00994C7D" w:rsidP="00994C7D">
      <w:pPr>
        <w:pStyle w:val="NormaleWeb"/>
        <w:numPr>
          <w:ilvl w:val="0"/>
          <w:numId w:val="5"/>
        </w:numPr>
        <w:spacing w:line="276" w:lineRule="auto"/>
        <w:jc w:val="both"/>
        <w:rPr>
          <w:rFonts w:ascii="Arial" w:hAnsi="Arial" w:cs="Arial"/>
          <w:b/>
          <w:bCs/>
          <w:sz w:val="22"/>
          <w:szCs w:val="22"/>
        </w:rPr>
      </w:pPr>
      <w:r w:rsidRPr="00994C7D">
        <w:rPr>
          <w:rFonts w:ascii="Arial" w:hAnsi="Arial" w:cs="Arial"/>
          <w:b/>
          <w:bCs/>
          <w:sz w:val="22"/>
          <w:szCs w:val="22"/>
        </w:rPr>
        <w:lastRenderedPageBreak/>
        <w:t>Oggetto del trattamento</w:t>
      </w:r>
    </w:p>
    <w:p w14:paraId="16C10181"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Ai sensi del Regolamento (UE) 2016/679 del Parlamento europeo e del Consiglio del 27 aprile 2016 (GDPR) e del decreto legislativo 30 giugno 2003, n. 196, come modificato dal decreto legislativo 10 agosto 2018, n. 101, la presente informativa descrive le modalità di trattamento dei dati personali dei soggetti coinvolti, a vario titolo, nelle iniziative finanziate nell’ambito dell’Avviso pubblico AIMA 20 emanato dall’Unione dei Comuni Madonie, a valere sul Programma Operativo Complementare (POC) Sicilia 2014–2020.</w:t>
      </w:r>
    </w:p>
    <w:p w14:paraId="05636BC9"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trattamento dei dati personali avviene nel rispetto dei principi di liceità, correttezza, trasparenza, minimizzazione e sicurezza.</w:t>
      </w:r>
    </w:p>
    <w:p w14:paraId="522AC128" w14:textId="77777777" w:rsidR="00994C7D" w:rsidRPr="00994C7D" w:rsidRDefault="00994C7D" w:rsidP="00994C7D">
      <w:pPr>
        <w:pStyle w:val="NormaleWeb"/>
        <w:numPr>
          <w:ilvl w:val="0"/>
          <w:numId w:val="6"/>
        </w:numPr>
        <w:spacing w:line="276" w:lineRule="auto"/>
        <w:jc w:val="both"/>
        <w:rPr>
          <w:rFonts w:ascii="Arial" w:hAnsi="Arial" w:cs="Arial"/>
          <w:b/>
          <w:bCs/>
          <w:sz w:val="22"/>
          <w:szCs w:val="22"/>
        </w:rPr>
      </w:pPr>
      <w:r w:rsidRPr="00994C7D">
        <w:rPr>
          <w:rFonts w:ascii="Arial" w:hAnsi="Arial" w:cs="Arial"/>
          <w:b/>
          <w:bCs/>
          <w:sz w:val="22"/>
          <w:szCs w:val="22"/>
        </w:rPr>
        <w:t>Finalità del trattamento</w:t>
      </w:r>
    </w:p>
    <w:p w14:paraId="4D40EBC7"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 dati personali sono trattati per le seguenti finalità:</w:t>
      </w:r>
    </w:p>
    <w:p w14:paraId="50846CD4" w14:textId="77777777"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gestione del procedimento amministrativo relativo all’Avviso pubblico (presentazione delle istanze, istruttoria, concessione del contributo, attuazione degli interventi); </w:t>
      </w:r>
    </w:p>
    <w:p w14:paraId="2AB1080A" w14:textId="77777777"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gestione amministrativa, finanziaria e contabile delle operazioni finanziate; </w:t>
      </w:r>
    </w:p>
    <w:p w14:paraId="064ECE08" w14:textId="034FE280"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attività di monitoraggio, controllo, verifica, rendicontazione e audit; </w:t>
      </w:r>
    </w:p>
    <w:p w14:paraId="616B7667" w14:textId="72AA320B"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adempimento di obblighi previsti dalla normativa comunitaria, nazionale e regionale applicabile al POC Sicilia 2014–2020; </w:t>
      </w:r>
    </w:p>
    <w:p w14:paraId="4EA21FBD" w14:textId="10B741FE" w:rsidR="00994C7D" w:rsidRP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pubblicazione di dati non sensibili ai sensi del </w:t>
      </w:r>
      <w:proofErr w:type="spellStart"/>
      <w:r w:rsidRPr="00994C7D">
        <w:rPr>
          <w:rFonts w:ascii="Arial" w:hAnsi="Arial" w:cs="Arial"/>
          <w:sz w:val="22"/>
          <w:szCs w:val="22"/>
        </w:rPr>
        <w:t>D.Lgs.</w:t>
      </w:r>
      <w:proofErr w:type="spellEnd"/>
      <w:r w:rsidRPr="00994C7D">
        <w:rPr>
          <w:rFonts w:ascii="Arial" w:hAnsi="Arial" w:cs="Arial"/>
          <w:sz w:val="22"/>
          <w:szCs w:val="22"/>
        </w:rPr>
        <w:t xml:space="preserve"> n. 33/2013 e </w:t>
      </w:r>
      <w:proofErr w:type="spellStart"/>
      <w:r w:rsidRPr="00994C7D">
        <w:rPr>
          <w:rFonts w:ascii="Arial" w:hAnsi="Arial" w:cs="Arial"/>
          <w:sz w:val="22"/>
          <w:szCs w:val="22"/>
        </w:rPr>
        <w:t>s.m.i.</w:t>
      </w:r>
      <w:proofErr w:type="spellEnd"/>
    </w:p>
    <w:p w14:paraId="3CA86576" w14:textId="77777777" w:rsidR="00994C7D" w:rsidRPr="00994C7D" w:rsidRDefault="00994C7D" w:rsidP="00994C7D">
      <w:pPr>
        <w:pStyle w:val="NormaleWeb"/>
        <w:numPr>
          <w:ilvl w:val="0"/>
          <w:numId w:val="7"/>
        </w:numPr>
        <w:spacing w:line="276" w:lineRule="auto"/>
        <w:jc w:val="both"/>
        <w:rPr>
          <w:rFonts w:ascii="Arial" w:hAnsi="Arial" w:cs="Arial"/>
          <w:b/>
          <w:bCs/>
          <w:sz w:val="22"/>
          <w:szCs w:val="22"/>
        </w:rPr>
      </w:pPr>
      <w:r w:rsidRPr="00994C7D">
        <w:rPr>
          <w:rFonts w:ascii="Arial" w:hAnsi="Arial" w:cs="Arial"/>
          <w:b/>
          <w:bCs/>
          <w:sz w:val="22"/>
          <w:szCs w:val="22"/>
        </w:rPr>
        <w:t>Conferimento dei dati</w:t>
      </w:r>
    </w:p>
    <w:p w14:paraId="23492481"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conferimento dei dati personali è obbligatorio ai fini della partecipazione all’Avviso e dell’attuazione degli interventi finanziati. Il mancato conferimento comporta l’impossibilità di instaurare o proseguire il rapporto con l’Amministrazione.</w:t>
      </w:r>
    </w:p>
    <w:p w14:paraId="480A2B06" w14:textId="77777777" w:rsidR="00994C7D" w:rsidRPr="00994C7D" w:rsidRDefault="00994C7D" w:rsidP="00994C7D">
      <w:pPr>
        <w:pStyle w:val="NormaleWeb"/>
        <w:numPr>
          <w:ilvl w:val="0"/>
          <w:numId w:val="8"/>
        </w:numPr>
        <w:spacing w:line="276" w:lineRule="auto"/>
        <w:jc w:val="both"/>
        <w:rPr>
          <w:rFonts w:ascii="Arial" w:hAnsi="Arial" w:cs="Arial"/>
          <w:b/>
          <w:bCs/>
          <w:sz w:val="22"/>
          <w:szCs w:val="22"/>
        </w:rPr>
      </w:pPr>
      <w:r w:rsidRPr="00994C7D">
        <w:rPr>
          <w:rFonts w:ascii="Arial" w:hAnsi="Arial" w:cs="Arial"/>
          <w:b/>
          <w:bCs/>
          <w:sz w:val="22"/>
          <w:szCs w:val="22"/>
        </w:rPr>
        <w:t>Tipologie di dati trattati</w:t>
      </w:r>
    </w:p>
    <w:p w14:paraId="49216DEE"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Possono essere oggetto di trattamento, a titolo esemplificativo:</w:t>
      </w:r>
    </w:p>
    <w:p w14:paraId="54AA772E" w14:textId="77777777" w:rsid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dati anagrafici e identificativi dei beneficiari, dei destinatari e degli altri soggetti coinvolti;</w:t>
      </w:r>
    </w:p>
    <w:p w14:paraId="7F7042A5" w14:textId="77777777" w:rsid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xml:space="preserve">– dati amministrativi dell’operazione (CUP, identificativo progetto, asse, obiettivo specifico, azione); – dati finanziari e contabili; </w:t>
      </w:r>
    </w:p>
    <w:p w14:paraId="3F8B7DD3" w14:textId="77777777" w:rsid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xml:space="preserve">– dati procedurali e di avanzamento fisico e finanziario; </w:t>
      </w:r>
    </w:p>
    <w:p w14:paraId="22831AC1" w14:textId="10B9B618" w:rsidR="00994C7D" w:rsidRP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atti amministrativi e documentazione probatoria.</w:t>
      </w:r>
    </w:p>
    <w:p w14:paraId="1AA6290B" w14:textId="77777777" w:rsidR="00994C7D" w:rsidRPr="00994C7D" w:rsidRDefault="00994C7D" w:rsidP="00994C7D">
      <w:pPr>
        <w:pStyle w:val="NormaleWeb"/>
        <w:numPr>
          <w:ilvl w:val="0"/>
          <w:numId w:val="9"/>
        </w:numPr>
        <w:spacing w:line="276" w:lineRule="auto"/>
        <w:jc w:val="both"/>
        <w:rPr>
          <w:rFonts w:ascii="Arial" w:hAnsi="Arial" w:cs="Arial"/>
          <w:b/>
          <w:bCs/>
          <w:sz w:val="22"/>
          <w:szCs w:val="22"/>
        </w:rPr>
      </w:pPr>
      <w:r w:rsidRPr="00994C7D">
        <w:rPr>
          <w:rFonts w:ascii="Arial" w:hAnsi="Arial" w:cs="Arial"/>
          <w:b/>
          <w:bCs/>
          <w:sz w:val="22"/>
          <w:szCs w:val="22"/>
        </w:rPr>
        <w:t>Categorie particolari di dati</w:t>
      </w:r>
    </w:p>
    <w:p w14:paraId="7381570C"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Eventuali dati rientranti nelle categorie particolari di cui agli articoli 9 e 10 del GDPR sono trattati esclusivamente nei limiti e secondo le condizioni previste dalla normativa vigente.</w:t>
      </w:r>
    </w:p>
    <w:p w14:paraId="43F54F36" w14:textId="77777777" w:rsidR="00994C7D" w:rsidRPr="00994C7D" w:rsidRDefault="00994C7D" w:rsidP="00994C7D">
      <w:pPr>
        <w:pStyle w:val="NormaleWeb"/>
        <w:numPr>
          <w:ilvl w:val="0"/>
          <w:numId w:val="10"/>
        </w:numPr>
        <w:spacing w:line="276" w:lineRule="auto"/>
        <w:jc w:val="both"/>
        <w:rPr>
          <w:rFonts w:ascii="Arial" w:hAnsi="Arial" w:cs="Arial"/>
          <w:b/>
          <w:bCs/>
          <w:sz w:val="22"/>
          <w:szCs w:val="22"/>
        </w:rPr>
      </w:pPr>
      <w:r w:rsidRPr="00994C7D">
        <w:rPr>
          <w:rFonts w:ascii="Arial" w:hAnsi="Arial" w:cs="Arial"/>
          <w:b/>
          <w:bCs/>
          <w:sz w:val="22"/>
          <w:szCs w:val="22"/>
        </w:rPr>
        <w:t>Titolare del trattamento</w:t>
      </w:r>
    </w:p>
    <w:p w14:paraId="34EC9B2B"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Titolare del trattamento è l’Unione dei Comuni Madonie, con sede in Petralia Soprana, Piazza del Popolo, C.F./P.IVA 96020670822, nella persona del legale rappresentante pro tempore.</w:t>
      </w:r>
    </w:p>
    <w:p w14:paraId="74097E36" w14:textId="1595F525" w:rsid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lastRenderedPageBreak/>
        <w:t>Il trattamento può essere effettuato da personale autorizzato o da soggetti esterni formalmente nominati Responsabili del trattamento ai sensi dell’articolo 28 del GDPR.</w:t>
      </w:r>
    </w:p>
    <w:p w14:paraId="2B3BC34C" w14:textId="77777777" w:rsidR="00994C7D" w:rsidRPr="00994C7D" w:rsidRDefault="00994C7D" w:rsidP="00994C7D">
      <w:pPr>
        <w:pStyle w:val="NormaleWeb"/>
        <w:numPr>
          <w:ilvl w:val="0"/>
          <w:numId w:val="11"/>
        </w:numPr>
        <w:spacing w:line="276" w:lineRule="auto"/>
        <w:jc w:val="both"/>
        <w:rPr>
          <w:rFonts w:ascii="Arial" w:hAnsi="Arial" w:cs="Arial"/>
          <w:b/>
          <w:bCs/>
          <w:sz w:val="22"/>
          <w:szCs w:val="22"/>
        </w:rPr>
      </w:pPr>
      <w:r w:rsidRPr="00994C7D">
        <w:rPr>
          <w:rFonts w:ascii="Arial" w:hAnsi="Arial" w:cs="Arial"/>
          <w:b/>
          <w:bCs/>
          <w:sz w:val="22"/>
          <w:szCs w:val="22"/>
        </w:rPr>
        <w:t>Modalità del trattamento e comunicazione dei dati</w:t>
      </w:r>
    </w:p>
    <w:p w14:paraId="2EC000D2"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trattamento dei dati avviene mediante strumenti cartacei ed elettronici, adottando misure tecniche e organizzative adeguate a garantire la sicurezza e la riservatezza dei dati.</w:t>
      </w:r>
    </w:p>
    <w:p w14:paraId="16EC3356"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 dati possono essere comunicati, per finalità istituzionali, a:</w:t>
      </w:r>
    </w:p>
    <w:p w14:paraId="21EFAF99" w14:textId="77777777" w:rsidR="00994C7D" w:rsidRDefault="00994C7D" w:rsidP="00994C7D">
      <w:pPr>
        <w:pStyle w:val="NormaleWeb"/>
        <w:spacing w:before="0" w:beforeAutospacing="0" w:after="0" w:afterAutospacing="0" w:line="276" w:lineRule="auto"/>
        <w:ind w:left="426" w:hanging="142"/>
        <w:jc w:val="both"/>
        <w:rPr>
          <w:rFonts w:ascii="Arial" w:hAnsi="Arial" w:cs="Arial"/>
          <w:sz w:val="22"/>
          <w:szCs w:val="22"/>
        </w:rPr>
      </w:pPr>
      <w:r w:rsidRPr="00994C7D">
        <w:rPr>
          <w:rFonts w:ascii="Arial" w:hAnsi="Arial" w:cs="Arial"/>
          <w:sz w:val="22"/>
          <w:szCs w:val="22"/>
        </w:rPr>
        <w:t xml:space="preserve">– Regione Siciliana e strutture competenti per il POC; </w:t>
      </w:r>
    </w:p>
    <w:p w14:paraId="7E7A22CF" w14:textId="0C0E76C9" w:rsidR="00994C7D" w:rsidRPr="00994C7D" w:rsidRDefault="00994C7D" w:rsidP="00994C7D">
      <w:pPr>
        <w:pStyle w:val="NormaleWeb"/>
        <w:spacing w:before="0" w:beforeAutospacing="0" w:after="0" w:afterAutospacing="0" w:line="276" w:lineRule="auto"/>
        <w:ind w:left="426" w:hanging="142"/>
        <w:jc w:val="both"/>
        <w:rPr>
          <w:rFonts w:ascii="Arial" w:hAnsi="Arial" w:cs="Arial"/>
          <w:sz w:val="22"/>
          <w:szCs w:val="22"/>
        </w:rPr>
      </w:pPr>
      <w:r w:rsidRPr="00994C7D">
        <w:rPr>
          <w:rFonts w:ascii="Arial" w:hAnsi="Arial" w:cs="Arial"/>
          <w:sz w:val="22"/>
          <w:szCs w:val="22"/>
        </w:rPr>
        <w:t>– soggetti pubblici preposti ad attività di controllo e verifica; – altri soggetti nei casi previsti dalla legge.</w:t>
      </w:r>
    </w:p>
    <w:p w14:paraId="2E9664B9" w14:textId="77777777" w:rsidR="00994C7D" w:rsidRPr="00994C7D" w:rsidRDefault="00994C7D" w:rsidP="00994C7D">
      <w:pPr>
        <w:pStyle w:val="NormaleWeb"/>
        <w:numPr>
          <w:ilvl w:val="0"/>
          <w:numId w:val="12"/>
        </w:numPr>
        <w:spacing w:line="276" w:lineRule="auto"/>
        <w:jc w:val="both"/>
        <w:rPr>
          <w:rFonts w:ascii="Arial" w:hAnsi="Arial" w:cs="Arial"/>
          <w:b/>
          <w:bCs/>
          <w:sz w:val="22"/>
          <w:szCs w:val="22"/>
        </w:rPr>
      </w:pPr>
      <w:r w:rsidRPr="00994C7D">
        <w:rPr>
          <w:rFonts w:ascii="Arial" w:hAnsi="Arial" w:cs="Arial"/>
          <w:b/>
          <w:bCs/>
          <w:sz w:val="22"/>
          <w:szCs w:val="22"/>
        </w:rPr>
        <w:t>Base giuridica del trattamento</w:t>
      </w:r>
    </w:p>
    <w:p w14:paraId="5AA2DB0E"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La base giuridica del trattamento è costituita:</w:t>
      </w:r>
    </w:p>
    <w:p w14:paraId="355353EA" w14:textId="77777777" w:rsidR="00994C7D" w:rsidRDefault="00994C7D" w:rsidP="00994C7D">
      <w:pPr>
        <w:pStyle w:val="NormaleWeb"/>
        <w:spacing w:before="0" w:beforeAutospacing="0" w:after="0" w:afterAutospacing="0" w:line="276" w:lineRule="auto"/>
        <w:ind w:left="284" w:hanging="142"/>
        <w:jc w:val="both"/>
        <w:rPr>
          <w:rFonts w:ascii="Arial" w:hAnsi="Arial" w:cs="Arial"/>
          <w:sz w:val="22"/>
          <w:szCs w:val="22"/>
        </w:rPr>
      </w:pPr>
      <w:r w:rsidRPr="00994C7D">
        <w:rPr>
          <w:rFonts w:ascii="Arial" w:hAnsi="Arial" w:cs="Arial"/>
          <w:sz w:val="22"/>
          <w:szCs w:val="22"/>
        </w:rPr>
        <w:t xml:space="preserve">– dall’esecuzione di compiti di interesse pubblico o connessi all’esercizio di pubblici poteri (art. 6, par. 1, lett. e GDPR); </w:t>
      </w:r>
    </w:p>
    <w:p w14:paraId="1D5F45C9" w14:textId="6B04E1B2" w:rsidR="00994C7D" w:rsidRDefault="00994C7D" w:rsidP="00994C7D">
      <w:pPr>
        <w:pStyle w:val="NormaleWeb"/>
        <w:spacing w:before="0" w:beforeAutospacing="0" w:after="0" w:afterAutospacing="0" w:line="276" w:lineRule="auto"/>
        <w:ind w:left="284" w:hanging="142"/>
        <w:jc w:val="both"/>
        <w:rPr>
          <w:rFonts w:ascii="Arial" w:hAnsi="Arial" w:cs="Arial"/>
          <w:sz w:val="22"/>
          <w:szCs w:val="22"/>
        </w:rPr>
      </w:pPr>
      <w:r w:rsidRPr="00994C7D">
        <w:rPr>
          <w:rFonts w:ascii="Arial" w:hAnsi="Arial" w:cs="Arial"/>
          <w:sz w:val="22"/>
          <w:szCs w:val="22"/>
        </w:rPr>
        <w:t xml:space="preserve">– dall’adempimento di obblighi legali (art. 6, par. 1, lett. c GDPR); </w:t>
      </w:r>
    </w:p>
    <w:p w14:paraId="34BA9DB9" w14:textId="0ECE59FF" w:rsidR="00994C7D" w:rsidRPr="00994C7D" w:rsidRDefault="00994C7D" w:rsidP="00994C7D">
      <w:pPr>
        <w:pStyle w:val="NormaleWeb"/>
        <w:spacing w:before="0" w:beforeAutospacing="0" w:after="0" w:afterAutospacing="0" w:line="276" w:lineRule="auto"/>
        <w:ind w:left="284" w:hanging="142"/>
        <w:jc w:val="both"/>
        <w:rPr>
          <w:rFonts w:ascii="Arial" w:hAnsi="Arial" w:cs="Arial"/>
          <w:sz w:val="22"/>
          <w:szCs w:val="22"/>
        </w:rPr>
      </w:pPr>
      <w:r>
        <w:rPr>
          <w:rFonts w:ascii="Arial" w:hAnsi="Arial" w:cs="Arial"/>
          <w:sz w:val="22"/>
          <w:szCs w:val="22"/>
        </w:rPr>
        <w:t>-</w:t>
      </w:r>
      <w:r w:rsidRPr="00994C7D">
        <w:rPr>
          <w:rFonts w:ascii="Arial" w:hAnsi="Arial" w:cs="Arial"/>
          <w:sz w:val="22"/>
          <w:szCs w:val="22"/>
        </w:rPr>
        <w:t xml:space="preserve"> dall’esecuzione di misure precontrattuali e contrattuali connesse all’Avviso (art. 6, par. 1, lett. b GDPR).</w:t>
      </w:r>
    </w:p>
    <w:p w14:paraId="7641A2C9" w14:textId="77777777" w:rsidR="00994C7D" w:rsidRPr="00994C7D" w:rsidRDefault="00994C7D" w:rsidP="00994C7D">
      <w:pPr>
        <w:pStyle w:val="NormaleWeb"/>
        <w:numPr>
          <w:ilvl w:val="0"/>
          <w:numId w:val="13"/>
        </w:numPr>
        <w:spacing w:line="276" w:lineRule="auto"/>
        <w:jc w:val="both"/>
        <w:rPr>
          <w:rFonts w:ascii="Arial" w:hAnsi="Arial" w:cs="Arial"/>
          <w:b/>
          <w:bCs/>
          <w:sz w:val="22"/>
          <w:szCs w:val="22"/>
        </w:rPr>
      </w:pPr>
      <w:r w:rsidRPr="00994C7D">
        <w:rPr>
          <w:rFonts w:ascii="Arial" w:hAnsi="Arial" w:cs="Arial"/>
          <w:b/>
          <w:bCs/>
          <w:sz w:val="22"/>
          <w:szCs w:val="22"/>
        </w:rPr>
        <w:t>Pubblicazione dei dati</w:t>
      </w:r>
    </w:p>
    <w:p w14:paraId="4F0EFE64"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 xml:space="preserve">La pubblicazione dei dati personali avviene nel rispetto del </w:t>
      </w:r>
      <w:proofErr w:type="spellStart"/>
      <w:r w:rsidRPr="00994C7D">
        <w:rPr>
          <w:rFonts w:ascii="Arial" w:hAnsi="Arial" w:cs="Arial"/>
          <w:sz w:val="22"/>
          <w:szCs w:val="22"/>
        </w:rPr>
        <w:t>D.Lgs.</w:t>
      </w:r>
      <w:proofErr w:type="spellEnd"/>
      <w:r w:rsidRPr="00994C7D">
        <w:rPr>
          <w:rFonts w:ascii="Arial" w:hAnsi="Arial" w:cs="Arial"/>
          <w:sz w:val="22"/>
          <w:szCs w:val="22"/>
        </w:rPr>
        <w:t xml:space="preserve"> n. 33/2013 e </w:t>
      </w:r>
      <w:proofErr w:type="spellStart"/>
      <w:r w:rsidRPr="00994C7D">
        <w:rPr>
          <w:rFonts w:ascii="Arial" w:hAnsi="Arial" w:cs="Arial"/>
          <w:sz w:val="22"/>
          <w:szCs w:val="22"/>
        </w:rPr>
        <w:t>s.m.i.</w:t>
      </w:r>
      <w:proofErr w:type="spellEnd"/>
      <w:r w:rsidRPr="00994C7D">
        <w:rPr>
          <w:rFonts w:ascii="Arial" w:hAnsi="Arial" w:cs="Arial"/>
          <w:sz w:val="22"/>
          <w:szCs w:val="22"/>
        </w:rPr>
        <w:t>, in particolare dell’articolo 26, quale condizione di efficacia dei provvedimenti di concessione di contributi.</w:t>
      </w:r>
    </w:p>
    <w:p w14:paraId="0D422875" w14:textId="77777777" w:rsidR="00994C7D" w:rsidRPr="00994C7D" w:rsidRDefault="00994C7D" w:rsidP="00994C7D">
      <w:pPr>
        <w:pStyle w:val="NormaleWeb"/>
        <w:numPr>
          <w:ilvl w:val="0"/>
          <w:numId w:val="14"/>
        </w:numPr>
        <w:spacing w:line="276" w:lineRule="auto"/>
        <w:jc w:val="both"/>
        <w:rPr>
          <w:rFonts w:ascii="Arial" w:hAnsi="Arial" w:cs="Arial"/>
          <w:b/>
          <w:bCs/>
          <w:sz w:val="22"/>
          <w:szCs w:val="22"/>
        </w:rPr>
      </w:pPr>
      <w:r w:rsidRPr="00994C7D">
        <w:rPr>
          <w:rFonts w:ascii="Arial" w:hAnsi="Arial" w:cs="Arial"/>
          <w:b/>
          <w:bCs/>
          <w:sz w:val="22"/>
          <w:szCs w:val="22"/>
        </w:rPr>
        <w:t>Periodo di conservazione</w:t>
      </w:r>
    </w:p>
    <w:p w14:paraId="3E16DA15"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 dati personali sono conservati per il tempo necessario al perseguimento delle finalità per cui sono raccolti e, comunque, per i termini previsti dalla normativa vigente in materia di conservazione degli atti amministrativi e di controllo dei fondi pubblici.</w:t>
      </w:r>
    </w:p>
    <w:p w14:paraId="0DB93FB5" w14:textId="77777777" w:rsidR="00994C7D" w:rsidRPr="00994C7D" w:rsidRDefault="00994C7D" w:rsidP="00994C7D">
      <w:pPr>
        <w:pStyle w:val="NormaleWeb"/>
        <w:numPr>
          <w:ilvl w:val="0"/>
          <w:numId w:val="15"/>
        </w:numPr>
        <w:spacing w:line="276" w:lineRule="auto"/>
        <w:jc w:val="both"/>
        <w:rPr>
          <w:rFonts w:ascii="Arial" w:hAnsi="Arial" w:cs="Arial"/>
          <w:b/>
          <w:bCs/>
          <w:sz w:val="22"/>
          <w:szCs w:val="22"/>
        </w:rPr>
      </w:pPr>
      <w:r w:rsidRPr="00994C7D">
        <w:rPr>
          <w:rFonts w:ascii="Arial" w:hAnsi="Arial" w:cs="Arial"/>
          <w:b/>
          <w:bCs/>
          <w:sz w:val="22"/>
          <w:szCs w:val="22"/>
        </w:rPr>
        <w:t>Diritti dell’interessato</w:t>
      </w:r>
    </w:p>
    <w:p w14:paraId="16CDC1B2"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Agli interessati sono riconosciuti i diritti di cui agli articoli 15–22 del GDPR, tra cui il diritto di accesso, rettifica, cancellazione, limitazione del trattamento, opposizione e reclamo al Garante per la protezione dei dati personali.</w:t>
      </w:r>
    </w:p>
    <w:p w14:paraId="6476CB07" w14:textId="77777777" w:rsid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 xml:space="preserve">Le richieste possono essere presentate all’Unione dei Comuni Madonie tramite </w:t>
      </w:r>
    </w:p>
    <w:p w14:paraId="6E8C9351" w14:textId="35965CE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 xml:space="preserve">PEC: </w:t>
      </w:r>
      <w:hyperlink r:id="rId12" w:history="1">
        <w:r w:rsidRPr="003F50F5">
          <w:rPr>
            <w:rStyle w:val="Collegamentoipertestuale"/>
            <w:rFonts w:ascii="Arial" w:hAnsi="Arial" w:cs="Arial"/>
            <w:sz w:val="22"/>
            <w:szCs w:val="22"/>
          </w:rPr>
          <w:t>unionemadonie@pec.comeg.it</w:t>
        </w:r>
      </w:hyperlink>
      <w:r>
        <w:rPr>
          <w:rFonts w:ascii="Arial" w:hAnsi="Arial" w:cs="Arial"/>
          <w:sz w:val="22"/>
          <w:szCs w:val="22"/>
        </w:rPr>
        <w:t xml:space="preserve"> </w:t>
      </w:r>
    </w:p>
    <w:p w14:paraId="0E4D1A47" w14:textId="77777777" w:rsidR="00994C7D" w:rsidRDefault="00994C7D" w:rsidP="00994C7D">
      <w:pPr>
        <w:pStyle w:val="NormaleWeb"/>
        <w:spacing w:line="276" w:lineRule="auto"/>
        <w:jc w:val="both"/>
        <w:rPr>
          <w:rFonts w:ascii="Arial" w:hAnsi="Arial" w:cs="Arial"/>
          <w:sz w:val="22"/>
          <w:szCs w:val="22"/>
        </w:rPr>
      </w:pPr>
    </w:p>
    <w:p w14:paraId="78F1AE4F" w14:textId="77777777" w:rsidR="00994C7D" w:rsidRDefault="00994C7D" w:rsidP="00994C7D">
      <w:pPr>
        <w:pStyle w:val="NormaleWeb"/>
        <w:spacing w:line="276" w:lineRule="auto"/>
        <w:jc w:val="both"/>
        <w:rPr>
          <w:rFonts w:ascii="Arial" w:hAnsi="Arial" w:cs="Arial"/>
          <w:sz w:val="22"/>
          <w:szCs w:val="22"/>
        </w:rPr>
      </w:pPr>
    </w:p>
    <w:p w14:paraId="37BA2A13" w14:textId="590DEC53" w:rsidR="00AD08AF" w:rsidRPr="002F5508" w:rsidRDefault="00994C7D" w:rsidP="00994C7D">
      <w:pPr>
        <w:pStyle w:val="NormaleWeb"/>
        <w:spacing w:line="276" w:lineRule="auto"/>
        <w:jc w:val="both"/>
        <w:rPr>
          <w:rFonts w:cstheme="minorHAnsi"/>
        </w:rPr>
      </w:pPr>
      <w:r w:rsidRPr="00994C7D">
        <w:rPr>
          <w:rFonts w:ascii="Arial" w:hAnsi="Arial" w:cs="Arial"/>
          <w:sz w:val="22"/>
          <w:szCs w:val="22"/>
        </w:rPr>
        <w:t>Data ____________________</w:t>
      </w:r>
    </w:p>
    <w:sectPr w:rsidR="00AD08AF" w:rsidRPr="002F5508">
      <w:headerReference w:type="default" r:id="rId13"/>
      <w:headerReference w:type="first" r:id="rId14"/>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A3F7" w14:textId="77777777" w:rsidR="006B5748" w:rsidRDefault="006B5748">
      <w:pPr>
        <w:spacing w:after="0" w:line="240" w:lineRule="auto"/>
      </w:pPr>
      <w:r>
        <w:separator/>
      </w:r>
    </w:p>
  </w:endnote>
  <w:endnote w:type="continuationSeparator" w:id="0">
    <w:p w14:paraId="66A555F3" w14:textId="77777777" w:rsidR="006B5748" w:rsidRDefault="006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ECDF" w14:textId="77777777" w:rsidR="006B5748" w:rsidRDefault="006B5748">
      <w:pPr>
        <w:spacing w:after="0" w:line="240" w:lineRule="auto"/>
      </w:pPr>
      <w:r>
        <w:separator/>
      </w:r>
    </w:p>
  </w:footnote>
  <w:footnote w:type="continuationSeparator" w:id="0">
    <w:p w14:paraId="28718D9C" w14:textId="77777777" w:rsidR="006B5748" w:rsidRDefault="006B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4ACA" w14:textId="1646D99E" w:rsidR="00AD08AF" w:rsidRDefault="00AD08AF">
    <w:pPr>
      <w:pStyle w:val="Intestazione"/>
    </w:pPr>
  </w:p>
  <w:p w14:paraId="0AF608DE" w14:textId="77777777" w:rsidR="00AD08AF" w:rsidRDefault="00AD0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C87B" w14:textId="77777777" w:rsidR="00AD08AF" w:rsidRDefault="006B5748">
    <w:pPr>
      <w:pStyle w:val="Intestazione"/>
    </w:pPr>
    <w:r>
      <w:rPr>
        <w:noProof/>
        <w:lang w:eastAsia="it-IT"/>
      </w:rPr>
      <w:drawing>
        <wp:inline distT="0" distB="0" distL="0" distR="0" wp14:anchorId="6C9E30A6" wp14:editId="0BBD3E01">
          <wp:extent cx="5875020" cy="6858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5875020" cy="685800"/>
                  </a:xfrm>
                  <a:prstGeom prst="rect">
                    <a:avLst/>
                  </a:prstGeom>
                  <a:noFill/>
                </pic:spPr>
              </pic:pic>
            </a:graphicData>
          </a:graphic>
        </wp:inline>
      </w:drawing>
    </w:r>
  </w:p>
  <w:p w14:paraId="3C52BE65" w14:textId="77777777" w:rsidR="00AD08AF" w:rsidRDefault="00AD0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FEA"/>
    <w:multiLevelType w:val="multilevel"/>
    <w:tmpl w:val="4E62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23A"/>
    <w:multiLevelType w:val="multilevel"/>
    <w:tmpl w:val="D26CF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C73A7"/>
    <w:multiLevelType w:val="multilevel"/>
    <w:tmpl w:val="175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7561F"/>
    <w:multiLevelType w:val="multilevel"/>
    <w:tmpl w:val="33965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C2282"/>
    <w:multiLevelType w:val="multilevel"/>
    <w:tmpl w:val="2DA0DD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05564"/>
    <w:multiLevelType w:val="multilevel"/>
    <w:tmpl w:val="574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E4962"/>
    <w:multiLevelType w:val="multilevel"/>
    <w:tmpl w:val="DB865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F5F8E"/>
    <w:multiLevelType w:val="multilevel"/>
    <w:tmpl w:val="445A91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64601D"/>
    <w:multiLevelType w:val="multilevel"/>
    <w:tmpl w:val="06462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271BD"/>
    <w:multiLevelType w:val="multilevel"/>
    <w:tmpl w:val="40DCA4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16908"/>
    <w:multiLevelType w:val="multilevel"/>
    <w:tmpl w:val="6E4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86437"/>
    <w:multiLevelType w:val="multilevel"/>
    <w:tmpl w:val="C722F3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6436F8"/>
    <w:multiLevelType w:val="multilevel"/>
    <w:tmpl w:val="1390E5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546DC"/>
    <w:multiLevelType w:val="multilevel"/>
    <w:tmpl w:val="2D5A5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F25B0C"/>
    <w:multiLevelType w:val="multilevel"/>
    <w:tmpl w:val="4268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num>
  <w:num w:numId="4">
    <w:abstractNumId w:val="2"/>
  </w:num>
  <w:num w:numId="5">
    <w:abstractNumId w:val="14"/>
  </w:num>
  <w:num w:numId="6">
    <w:abstractNumId w:val="8"/>
  </w:num>
  <w:num w:numId="7">
    <w:abstractNumId w:val="4"/>
  </w:num>
  <w:num w:numId="8">
    <w:abstractNumId w:val="1"/>
  </w:num>
  <w:num w:numId="9">
    <w:abstractNumId w:val="9"/>
  </w:num>
  <w:num w:numId="10">
    <w:abstractNumId w:val="6"/>
  </w:num>
  <w:num w:numId="11">
    <w:abstractNumId w:val="11"/>
  </w:num>
  <w:num w:numId="12">
    <w:abstractNumId w:val="7"/>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8AF"/>
    <w:rsid w:val="00162364"/>
    <w:rsid w:val="001859C3"/>
    <w:rsid w:val="00254F82"/>
    <w:rsid w:val="00282D69"/>
    <w:rsid w:val="002F5508"/>
    <w:rsid w:val="00352408"/>
    <w:rsid w:val="006B5748"/>
    <w:rsid w:val="00994C7D"/>
    <w:rsid w:val="00A3453C"/>
    <w:rsid w:val="00AD08AF"/>
    <w:rsid w:val="00EF1A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06F691F4"/>
  <w15:docId w15:val="{F9204EA6-D921-4F6D-841E-F1E6C87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13AC"/>
    <w:pPr>
      <w:spacing w:after="160" w:line="259" w:lineRule="auto"/>
    </w:pPr>
  </w:style>
  <w:style w:type="paragraph" w:styleId="Titolo2">
    <w:name w:val="heading 2"/>
    <w:basedOn w:val="Normale"/>
    <w:link w:val="Titolo2Carattere"/>
    <w:uiPriority w:val="9"/>
    <w:qFormat/>
    <w:rsid w:val="002F5508"/>
    <w:pPr>
      <w:suppressAutoHyphens w:val="0"/>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rPr>
  </w:style>
  <w:style w:type="paragraph" w:styleId="Titolo3">
    <w:name w:val="heading 3"/>
    <w:basedOn w:val="Normale"/>
    <w:link w:val="Titolo3Carattere"/>
    <w:uiPriority w:val="9"/>
    <w:qFormat/>
    <w:rsid w:val="002F5508"/>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F4633"/>
  </w:style>
  <w:style w:type="character" w:customStyle="1" w:styleId="PidipaginaCarattere">
    <w:name w:val="Piè di pagina Carattere"/>
    <w:basedOn w:val="Carpredefinitoparagrafo"/>
    <w:link w:val="Pidipagina"/>
    <w:uiPriority w:val="99"/>
    <w:qFormat/>
    <w:rsid w:val="006F4633"/>
  </w:style>
  <w:style w:type="character" w:customStyle="1" w:styleId="TestofumettoCarattere">
    <w:name w:val="Testo fumetto Carattere"/>
    <w:basedOn w:val="Carpredefinitoparagrafo"/>
    <w:link w:val="Testofumetto"/>
    <w:uiPriority w:val="99"/>
    <w:semiHidden/>
    <w:qFormat/>
    <w:rsid w:val="006A2FB3"/>
    <w:rPr>
      <w:rFonts w:ascii="Tahoma" w:hAnsi="Tahoma" w:cs="Tahoma"/>
      <w:sz w:val="16"/>
      <w:szCs w:val="16"/>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2B2C65"/>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F4633"/>
    <w:pPr>
      <w:tabs>
        <w:tab w:val="center" w:pos="4819"/>
        <w:tab w:val="right" w:pos="9638"/>
      </w:tabs>
      <w:spacing w:after="0" w:line="240" w:lineRule="auto"/>
    </w:pPr>
  </w:style>
  <w:style w:type="paragraph" w:styleId="Pidipagina">
    <w:name w:val="footer"/>
    <w:basedOn w:val="Normale"/>
    <w:link w:val="PidipaginaCarattere"/>
    <w:uiPriority w:val="99"/>
    <w:unhideWhenUsed/>
    <w:rsid w:val="006F4633"/>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6A2FB3"/>
    <w:pPr>
      <w:spacing w:after="0" w:line="240" w:lineRule="auto"/>
    </w:pPr>
    <w:rPr>
      <w:rFonts w:ascii="Tahoma" w:hAnsi="Tahoma" w:cs="Tahoma"/>
      <w:sz w:val="16"/>
      <w:szCs w:val="16"/>
    </w:rPr>
  </w:style>
  <w:style w:type="paragraph" w:customStyle="1" w:styleId="Contenutocornice">
    <w:name w:val="Contenuto cornice"/>
    <w:basedOn w:val="Normale"/>
    <w:qFormat/>
  </w:style>
  <w:style w:type="table" w:styleId="Grigliatabella">
    <w:name w:val="Table Grid"/>
    <w:basedOn w:val="Tabellanormale"/>
    <w:uiPriority w:val="59"/>
    <w:rsid w:val="00862C65"/>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2F5508"/>
    <w:rPr>
      <w:rFonts w:ascii="Times New Roman" w:eastAsia="Times New Roman" w:hAnsi="Times New Roman" w:cs="Times New Roman"/>
      <w:b/>
      <w:bCs/>
      <w:kern w:val="0"/>
      <w:sz w:val="36"/>
      <w:szCs w:val="36"/>
      <w:lang w:eastAsia="it-IT"/>
    </w:rPr>
  </w:style>
  <w:style w:type="character" w:customStyle="1" w:styleId="Titolo3Carattere">
    <w:name w:val="Titolo 3 Carattere"/>
    <w:basedOn w:val="Carpredefinitoparagrafo"/>
    <w:link w:val="Titolo3"/>
    <w:uiPriority w:val="9"/>
    <w:rsid w:val="002F5508"/>
    <w:rPr>
      <w:rFonts w:ascii="Times New Roman" w:eastAsia="Times New Roman" w:hAnsi="Times New Roman" w:cs="Times New Roman"/>
      <w:b/>
      <w:bCs/>
      <w:kern w:val="0"/>
      <w:sz w:val="27"/>
      <w:szCs w:val="27"/>
      <w:lang w:eastAsia="it-IT"/>
    </w:rPr>
  </w:style>
  <w:style w:type="character" w:styleId="Enfasigrassetto">
    <w:name w:val="Strong"/>
    <w:basedOn w:val="Carpredefinitoparagrafo"/>
    <w:uiPriority w:val="22"/>
    <w:qFormat/>
    <w:rsid w:val="002F5508"/>
    <w:rPr>
      <w:b/>
      <w:bCs/>
    </w:rPr>
  </w:style>
  <w:style w:type="paragraph" w:styleId="NormaleWeb">
    <w:name w:val="Normal (Web)"/>
    <w:basedOn w:val="Normale"/>
    <w:uiPriority w:val="99"/>
    <w:unhideWhenUsed/>
    <w:rsid w:val="002F55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t286pc">
    <w:name w:val="t286pc"/>
    <w:basedOn w:val="Carpredefinitoparagrafo"/>
    <w:rsid w:val="00A3453C"/>
  </w:style>
  <w:style w:type="character" w:customStyle="1" w:styleId="vkekvd">
    <w:name w:val="vkekvd"/>
    <w:basedOn w:val="Carpredefinitoparagrafo"/>
    <w:rsid w:val="00A3453C"/>
  </w:style>
  <w:style w:type="character" w:styleId="Menzionenonrisolta">
    <w:name w:val="Unresolved Mention"/>
    <w:basedOn w:val="Carpredefinitoparagrafo"/>
    <w:uiPriority w:val="99"/>
    <w:semiHidden/>
    <w:unhideWhenUsed/>
    <w:rsid w:val="0099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74655">
      <w:bodyDiv w:val="1"/>
      <w:marLeft w:val="0"/>
      <w:marRight w:val="0"/>
      <w:marTop w:val="0"/>
      <w:marBottom w:val="0"/>
      <w:divBdr>
        <w:top w:val="none" w:sz="0" w:space="0" w:color="auto"/>
        <w:left w:val="none" w:sz="0" w:space="0" w:color="auto"/>
        <w:bottom w:val="none" w:sz="0" w:space="0" w:color="auto"/>
        <w:right w:val="none" w:sz="0" w:space="0" w:color="auto"/>
      </w:divBdr>
    </w:div>
    <w:div w:id="683475634">
      <w:bodyDiv w:val="1"/>
      <w:marLeft w:val="0"/>
      <w:marRight w:val="0"/>
      <w:marTop w:val="0"/>
      <w:marBottom w:val="0"/>
      <w:divBdr>
        <w:top w:val="none" w:sz="0" w:space="0" w:color="auto"/>
        <w:left w:val="none" w:sz="0" w:space="0" w:color="auto"/>
        <w:bottom w:val="none" w:sz="0" w:space="0" w:color="auto"/>
        <w:right w:val="none" w:sz="0" w:space="0" w:color="auto"/>
      </w:divBdr>
    </w:div>
    <w:div w:id="1234852798">
      <w:bodyDiv w:val="1"/>
      <w:marLeft w:val="0"/>
      <w:marRight w:val="0"/>
      <w:marTop w:val="0"/>
      <w:marBottom w:val="0"/>
      <w:divBdr>
        <w:top w:val="none" w:sz="0" w:space="0" w:color="auto"/>
        <w:left w:val="none" w:sz="0" w:space="0" w:color="auto"/>
        <w:bottom w:val="none" w:sz="0" w:space="0" w:color="auto"/>
        <w:right w:val="none" w:sz="0" w:space="0" w:color="auto"/>
      </w:divBdr>
    </w:div>
    <w:div w:id="190093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nionemadonie@pec.comeg.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1197</TotalTime>
  <Pages>3</Pages>
  <Words>752</Words>
  <Characters>4289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Bellavista</dc:creator>
  <cp:lastModifiedBy>Alessandro</cp:lastModifiedBy>
  <cp:revision>11</cp:revision>
  <cp:lastPrinted>2025-08-07T13:54:00Z</cp:lastPrinted>
  <dcterms:created xsi:type="dcterms:W3CDTF">2024-12-19T12:06:00Z</dcterms:created>
  <dcterms:modified xsi:type="dcterms:W3CDTF">2025-12-18T10:29:00Z</dcterms:modified>
  <dc:language>it-IT</dc:language>
</cp:coreProperties>
</file>